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21445">
      <w:pPr>
        <w:pStyle w:val="2"/>
        <w:jc w:val="center"/>
        <w:rPr>
          <w:rFonts w:ascii="Arial" w:eastAsia="微软雅黑"/>
          <w:sz w:val="36"/>
          <w:szCs w:val="36"/>
        </w:rPr>
      </w:pPr>
      <w:r>
        <w:rPr>
          <w:rFonts w:ascii="Arial" w:eastAsia="微软雅黑"/>
          <w:sz w:val="36"/>
          <w:szCs w:val="36"/>
        </w:rPr>
        <w:t>安阳市中医院主动健康管理</w:t>
      </w:r>
      <w:r>
        <w:rPr>
          <w:rFonts w:hint="eastAsia"/>
          <w:sz w:val="36"/>
          <w:szCs w:val="36"/>
          <w:lang w:val="en-US" w:eastAsia="zh-CN"/>
        </w:rPr>
        <w:t>信息</w:t>
      </w:r>
      <w:r>
        <w:rPr>
          <w:rFonts w:ascii="Arial" w:eastAsia="微软雅黑"/>
          <w:sz w:val="36"/>
          <w:szCs w:val="36"/>
        </w:rPr>
        <w:t>系统需求</w:t>
      </w:r>
    </w:p>
    <w:p w14:paraId="430A94BA">
      <w:pPr>
        <w:pStyle w:val="4"/>
        <w:ind w:firstLine="520" w:firstLineChars="200"/>
        <w:rPr>
          <w:rFonts w:ascii="Arial" w:eastAsia="微软雅黑"/>
        </w:rPr>
      </w:pPr>
      <w:r>
        <w:rPr>
          <w:rFonts w:ascii="Arial" w:eastAsia="微软雅黑"/>
        </w:rPr>
        <w:t>一</w:t>
      </w:r>
      <w:r>
        <w:rPr>
          <w:rFonts w:hint="eastAsia" w:ascii="Arial" w:eastAsia="微软雅黑"/>
          <w:lang w:eastAsia="zh-CN"/>
        </w:rPr>
        <w:t>、</w:t>
      </w:r>
      <w:r>
        <w:rPr>
          <w:rFonts w:ascii="Arial" w:eastAsia="微软雅黑"/>
        </w:rPr>
        <w:t>体检</w:t>
      </w:r>
      <w:r>
        <w:rPr>
          <w:rFonts w:hint="eastAsia" w:ascii="Arial" w:eastAsia="微软雅黑"/>
          <w:lang w:val="en-US" w:eastAsia="zh-CN"/>
        </w:rPr>
        <w:t>用户</w:t>
      </w:r>
      <w:r>
        <w:rPr>
          <w:rFonts w:ascii="Arial" w:eastAsia="微软雅黑"/>
        </w:rPr>
        <w:t>管理</w:t>
      </w:r>
    </w:p>
    <w:p w14:paraId="19759729">
      <w:pPr>
        <w:spacing w:after="120" w:line="360" w:lineRule="auto"/>
        <w:ind w:firstLine="480"/>
      </w:pPr>
      <w:r>
        <w:rPr>
          <w:rFonts w:ascii="Arial" w:eastAsia="微软雅黑"/>
        </w:rPr>
        <w:t>体检管理应覆盖体检业务全流程，支持健康体检、从业体检、职业病体检及综合体检等多种体检类型，满足我院日常体检业务及对外服务需求。主要包括以下功能模块：</w:t>
      </w:r>
      <w:r>
        <w:rPr>
          <w:rFonts w:hint="eastAsia"/>
        </w:rPr>
        <w:t>多渠道</w:t>
      </w:r>
      <w:r>
        <w:rPr>
          <w:rFonts w:ascii="Arial" w:eastAsia="微软雅黑"/>
        </w:rPr>
        <w:t>预约管理、套餐管理、单位管理、登记管理、收费管理、分科检查、总检管理、终审管理、重大阳性管理、知识库管理、报告管理、统计分析、职业病管理、健康证管理、接口对接。</w:t>
      </w:r>
    </w:p>
    <w:p w14:paraId="05A247BD">
      <w:pPr>
        <w:pStyle w:val="4"/>
        <w:ind w:firstLine="520" w:firstLineChars="200"/>
      </w:pPr>
      <w:r>
        <w:rPr>
          <w:rFonts w:ascii="Arial" w:eastAsia="微软雅黑"/>
        </w:rPr>
        <w:t>二</w:t>
      </w:r>
      <w:r>
        <w:rPr>
          <w:rFonts w:hint="eastAsia"/>
          <w:lang w:eastAsia="zh-CN"/>
        </w:rPr>
        <w:t>、</w:t>
      </w:r>
      <w:r>
        <w:rPr>
          <w:rFonts w:ascii="Arial" w:eastAsia="微软雅黑"/>
        </w:rPr>
        <w:t>慢病</w:t>
      </w:r>
      <w:r>
        <w:rPr>
          <w:rFonts w:hint="eastAsia"/>
          <w:lang w:val="en-US" w:eastAsia="zh-CN"/>
        </w:rPr>
        <w:t>患者</w:t>
      </w:r>
      <w:r>
        <w:rPr>
          <w:rFonts w:ascii="Arial" w:eastAsia="微软雅黑"/>
        </w:rPr>
        <w:t>管理</w:t>
      </w:r>
    </w:p>
    <w:p w14:paraId="3D8467D5">
      <w:pPr>
        <w:spacing w:after="120" w:line="360" w:lineRule="auto"/>
        <w:ind w:firstLine="480"/>
      </w:pPr>
      <w:r>
        <w:rPr>
          <w:rFonts w:ascii="Arial" w:eastAsia="微软雅黑"/>
        </w:rPr>
        <w:t>慢病管理应围绕"全病程管理"理念，采用"系统工具+运营支持+人员培训"的建设模式，支持全员纳入、队列管理、特需服务三层慢病管理服务能力，实现患者从住院到门诊到家庭的全程闭环管理。主要包括以下功能模块：数据整合、AI智能随访、全员纳入慢病管理、队列纳入慢病管理、特需纳入慢病管理、咨询互动管理、患者主页、管理运营中心、知识库管理、组织及权限管理、患者端功能。</w:t>
      </w:r>
    </w:p>
    <w:p w14:paraId="1DE58913">
      <w:pPr>
        <w:pStyle w:val="4"/>
        <w:ind w:firstLine="520" w:firstLineChars="200"/>
      </w:pPr>
      <w:r>
        <w:rPr>
          <w:rFonts w:ascii="Arial" w:eastAsia="微软雅黑"/>
        </w:rPr>
        <w:t>三</w:t>
      </w:r>
      <w:r>
        <w:rPr>
          <w:rFonts w:hint="eastAsia"/>
          <w:lang w:eastAsia="zh-CN"/>
        </w:rPr>
        <w:t>、</w:t>
      </w:r>
      <w:r>
        <w:rPr>
          <w:rFonts w:ascii="Arial" w:eastAsia="微软雅黑"/>
        </w:rPr>
        <w:t>治未病</w:t>
      </w:r>
      <w:r>
        <w:rPr>
          <w:rFonts w:hint="eastAsia"/>
          <w:lang w:val="en-US" w:eastAsia="zh-CN"/>
        </w:rPr>
        <w:t>用户</w:t>
      </w:r>
      <w:r>
        <w:rPr>
          <w:rFonts w:ascii="Arial" w:eastAsia="微软雅黑"/>
        </w:rPr>
        <w:t>管理</w:t>
      </w:r>
    </w:p>
    <w:p w14:paraId="0CF3BD8A">
      <w:pPr>
        <w:spacing w:after="120" w:line="360" w:lineRule="auto"/>
        <w:ind w:firstLine="480"/>
      </w:pPr>
      <w:r>
        <w:rPr>
          <w:rFonts w:ascii="Arial" w:eastAsia="微软雅黑"/>
        </w:rPr>
        <w:t>治未病管理应充分发挥我院中医药特色优势，围绕"未病先防、既病防变、瘥后防复"理念，构建中医特色的健康评估与干预管理体系。主要包括以下功能模块：中医体质辨识、辨体施膳管理、辨证施膳管理、检后健康分类、中医治未病档案管理、治未病干预方案、药食同源产品管理、五运六气、AI舌象分析、与慢病系统联动。</w:t>
      </w:r>
    </w:p>
    <w:p w14:paraId="3B8C2F47">
      <w:pPr>
        <w:pStyle w:val="3"/>
        <w:ind w:firstLine="560" w:firstLineChars="200"/>
      </w:pPr>
      <w:r>
        <w:rPr>
          <w:rFonts w:ascii="Arial" w:eastAsia="微软雅黑"/>
        </w:rPr>
        <w:t>四、系统技术要求</w:t>
      </w:r>
    </w:p>
    <w:tbl>
      <w:tblPr>
        <w:tblStyle w:val="13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77"/>
        <w:gridCol w:w="1812"/>
        <w:gridCol w:w="6437"/>
      </w:tblGrid>
      <w:tr w14:paraId="17C9F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77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F8FA22">
            <w:r>
              <w:rPr>
                <w:rFonts w:ascii="Arial" w:eastAsia="微软雅黑"/>
              </w:rPr>
              <w:t>序号</w:t>
            </w:r>
          </w:p>
        </w:tc>
        <w:tc>
          <w:tcPr>
            <w:tcW w:w="1812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462ECB">
            <w:r>
              <w:rPr>
                <w:rFonts w:ascii="Arial" w:eastAsia="微软雅黑"/>
              </w:rPr>
              <w:t>技术要求</w:t>
            </w:r>
          </w:p>
        </w:tc>
        <w:tc>
          <w:tcPr>
            <w:tcW w:w="6437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15D81D">
            <w:r>
              <w:rPr>
                <w:rFonts w:ascii="Arial" w:eastAsia="微软雅黑"/>
              </w:rPr>
              <w:t>说明</w:t>
            </w:r>
          </w:p>
        </w:tc>
      </w:tr>
      <w:tr w14:paraId="02E8C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77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C47F3A">
            <w:r>
              <w:rPr>
                <w:rFonts w:ascii="Arial" w:eastAsia="微软雅黑"/>
              </w:rPr>
              <w:t>1</w:t>
            </w:r>
          </w:p>
        </w:tc>
        <w:tc>
          <w:tcPr>
            <w:tcW w:w="1812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0574E4">
            <w:r>
              <w:rPr>
                <w:rFonts w:ascii="Arial" w:eastAsia="微软雅黑"/>
              </w:rPr>
              <w:t>部署方式</w:t>
            </w:r>
          </w:p>
        </w:tc>
        <w:tc>
          <w:tcPr>
            <w:tcW w:w="6437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54DD7B">
            <w:r>
              <w:rPr>
                <w:rFonts w:ascii="Arial" w:eastAsia="微软雅黑"/>
              </w:rPr>
              <w:t>支持院内本地化部署，满足医院信息安全及等保要求</w:t>
            </w:r>
          </w:p>
        </w:tc>
      </w:tr>
      <w:tr w14:paraId="066E2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77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9BDB17">
            <w:r>
              <w:rPr>
                <w:rFonts w:ascii="Arial" w:eastAsia="微软雅黑"/>
              </w:rPr>
              <w:t>2</w:t>
            </w:r>
          </w:p>
        </w:tc>
        <w:tc>
          <w:tcPr>
            <w:tcW w:w="1812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F309BD">
            <w:r>
              <w:rPr>
                <w:rFonts w:ascii="Arial" w:eastAsia="微软雅黑"/>
              </w:rPr>
              <w:t>信息安全</w:t>
            </w:r>
          </w:p>
        </w:tc>
        <w:tc>
          <w:tcPr>
            <w:tcW w:w="6437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4DF7F">
            <w:r>
              <w:rPr>
                <w:rFonts w:ascii="Arial" w:eastAsia="微软雅黑"/>
              </w:rPr>
              <w:t>通过国家信息安全等级保护三级备案认证</w:t>
            </w:r>
          </w:p>
        </w:tc>
      </w:tr>
      <w:tr w14:paraId="736D1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77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861DD5">
            <w:r>
              <w:rPr>
                <w:rFonts w:ascii="Arial" w:eastAsia="微软雅黑"/>
              </w:rPr>
              <w:t>3</w:t>
            </w:r>
          </w:p>
        </w:tc>
        <w:tc>
          <w:tcPr>
            <w:tcW w:w="1812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9E5E39">
            <w:r>
              <w:rPr>
                <w:rFonts w:ascii="Arial" w:eastAsia="微软雅黑"/>
              </w:rPr>
              <w:t>信创兼容</w:t>
            </w:r>
          </w:p>
        </w:tc>
        <w:tc>
          <w:tcPr>
            <w:tcW w:w="6437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04C457">
            <w:r>
              <w:rPr>
                <w:rFonts w:ascii="Arial" w:eastAsia="微软雅黑"/>
              </w:rPr>
              <w:t>具备信息技术应用创新符合性测试证书，支持国产化服务器及操作系统环境</w:t>
            </w:r>
          </w:p>
        </w:tc>
      </w:tr>
      <w:tr w14:paraId="7508B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77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45C18A">
            <w:r>
              <w:rPr>
                <w:rFonts w:ascii="Arial" w:eastAsia="微软雅黑"/>
              </w:rPr>
              <w:t>4</w:t>
            </w:r>
          </w:p>
        </w:tc>
        <w:tc>
          <w:tcPr>
            <w:tcW w:w="1812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1DBDE8">
            <w:r>
              <w:rPr>
                <w:rFonts w:ascii="Arial" w:eastAsia="微软雅黑"/>
              </w:rPr>
              <w:t>质量管理体系</w:t>
            </w:r>
          </w:p>
        </w:tc>
        <w:tc>
          <w:tcPr>
            <w:tcW w:w="6437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B85DE3">
            <w:r>
              <w:rPr>
                <w:rFonts w:ascii="Arial" w:eastAsia="微软雅黑"/>
              </w:rPr>
              <w:t>通过ISO9001质量管理体系认证</w:t>
            </w:r>
          </w:p>
        </w:tc>
      </w:tr>
      <w:tr w14:paraId="0D441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77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AD4B4A">
            <w:r>
              <w:rPr>
                <w:rFonts w:ascii="Arial" w:eastAsia="微软雅黑"/>
              </w:rPr>
              <w:t>5</w:t>
            </w:r>
          </w:p>
        </w:tc>
        <w:tc>
          <w:tcPr>
            <w:tcW w:w="1812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FE8877">
            <w:r>
              <w:rPr>
                <w:rFonts w:ascii="Arial" w:eastAsia="微软雅黑"/>
              </w:rPr>
              <w:t>系统对接</w:t>
            </w:r>
          </w:p>
        </w:tc>
        <w:tc>
          <w:tcPr>
            <w:tcW w:w="6437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43A422">
            <w:pPr>
              <w:rPr>
                <w:rFonts w:hint="eastAsia" w:eastAsia="微软雅黑"/>
                <w:lang w:eastAsia="zh-CN"/>
              </w:rPr>
            </w:pPr>
            <w:r>
              <w:rPr>
                <w:rFonts w:ascii="Arial" w:eastAsia="微软雅黑"/>
              </w:rPr>
              <w:t>三个子系统之间实现数据互通和业务联动，同时支持与院内现有</w:t>
            </w:r>
            <w:r>
              <w:rPr>
                <w:rFonts w:hint="eastAsia"/>
                <w:lang w:val="en-US" w:eastAsia="zh-CN"/>
              </w:rPr>
              <w:t>所以设备接口、</w:t>
            </w:r>
            <w:r>
              <w:rPr>
                <w:rFonts w:ascii="Arial" w:eastAsia="微软雅黑"/>
              </w:rPr>
              <w:t>HIS、LIS、PACS、</w:t>
            </w:r>
            <w:r>
              <w:rPr>
                <w:rFonts w:hint="eastAsia"/>
                <w:lang w:val="en-US" w:eastAsia="zh-CN"/>
              </w:rPr>
              <w:t>公卫系统、电子签名、</w:t>
            </w:r>
            <w:r>
              <w:rPr>
                <w:rFonts w:hint="eastAsia"/>
              </w:rPr>
              <w:t>省级职业病监管平台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法定传染病</w:t>
            </w:r>
            <w:r>
              <w:rPr>
                <w:rFonts w:hint="eastAsia"/>
                <w:lang w:val="en-US" w:eastAsia="zh-CN"/>
              </w:rPr>
              <w:t>上报、</w:t>
            </w:r>
            <w:r>
              <w:rPr>
                <w:rFonts w:hint="eastAsia" w:ascii="仿宋" w:hAnsi="仿宋" w:cs="仿宋"/>
                <w:color w:val="000000"/>
                <w:lang w:bidi="ar"/>
              </w:rPr>
              <w:t>数据仓库</w:t>
            </w:r>
            <w:r>
              <w:rPr>
                <w:rFonts w:hint="eastAsia" w:ascii="仿宋" w:hAnsi="仿宋" w:cs="仿宋"/>
                <w:color w:val="000000"/>
                <w:lang w:eastAsia="zh-CN" w:bidi="ar"/>
              </w:rPr>
              <w:t>、</w:t>
            </w:r>
            <w:r>
              <w:rPr>
                <w:rFonts w:hint="eastAsia" w:ascii="仿宋" w:hAnsi="仿宋" w:cs="仿宋"/>
                <w:color w:val="000000"/>
                <w:lang w:val="en-US" w:eastAsia="zh-CN" w:bidi="ar"/>
              </w:rPr>
              <w:t>三方平台</w:t>
            </w:r>
            <w:r>
              <w:rPr>
                <w:rFonts w:ascii="Arial" w:eastAsia="微软雅黑"/>
              </w:rPr>
              <w:t>等信息系统的对接集成</w:t>
            </w:r>
            <w:r>
              <w:rPr>
                <w:rFonts w:hint="eastAsia"/>
                <w:lang w:eastAsia="zh-CN"/>
              </w:rPr>
              <w:t>。</w:t>
            </w:r>
          </w:p>
        </w:tc>
      </w:tr>
    </w:tbl>
    <w:p w14:paraId="64236258"/>
    <w:p w14:paraId="2526FDEC">
      <w:pPr>
        <w:spacing w:after="120" w:line="360" w:lineRule="auto"/>
        <w:ind w:firstLine="480"/>
      </w:pPr>
    </w:p>
    <w:p w14:paraId="4631BD05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633DBD2A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7DDD6910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36AB89DB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26835884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2553147A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5572B2D9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2EFC06E5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7DA1D463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336B66B4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511CCFFC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447DAD5A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78782F9D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69B93911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5A592B6C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152D4062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7F251FFC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5596860C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安阳市中医院</w:t>
      </w:r>
    </w:p>
    <w:p w14:paraId="7170E716"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慢病管理信息系统建设报价表</w:t>
      </w:r>
    </w:p>
    <w:p w14:paraId="3FFE926C">
      <w:pPr>
        <w:bidi w:val="0"/>
        <w:jc w:val="both"/>
        <w:rPr>
          <w:rFonts w:hint="eastAsia" w:ascii="宋体" w:hAnsi="宋体" w:cs="宋体"/>
          <w:spacing w:val="0"/>
          <w:sz w:val="24"/>
          <w:szCs w:val="24"/>
          <w:lang w:val="en-US" w:eastAsia="zh-CN"/>
        </w:rPr>
      </w:pPr>
    </w:p>
    <w:p w14:paraId="6154D18A">
      <w:pPr>
        <w:bidi w:val="0"/>
        <w:jc w:val="both"/>
        <w:rPr>
          <w:rFonts w:hint="eastAsia" w:ascii="宋体" w:hAnsi="宋体" w:eastAsia="宋体" w:cs="宋体"/>
          <w:spacing w:val="0"/>
          <w:sz w:val="24"/>
          <w:szCs w:val="24"/>
        </w:rPr>
      </w:pP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 xml:space="preserve">公司名称：                          </w:t>
      </w:r>
      <w:r>
        <w:rPr>
          <w:rFonts w:hint="eastAsia" w:ascii="宋体" w:hAnsi="宋体" w:eastAsia="宋体" w:cs="宋体"/>
          <w:spacing w:val="0"/>
          <w:sz w:val="24"/>
          <w:szCs w:val="24"/>
        </w:rPr>
        <w:t>货币单位：人民币</w:t>
      </w:r>
    </w:p>
    <w:tbl>
      <w:tblPr>
        <w:tblStyle w:val="13"/>
        <w:tblW w:w="9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900"/>
        <w:gridCol w:w="1434"/>
        <w:gridCol w:w="3233"/>
        <w:gridCol w:w="1665"/>
        <w:gridCol w:w="1024"/>
      </w:tblGrid>
      <w:tr w14:paraId="2D606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357" w:type="dxa"/>
            <w:noWrap w:val="0"/>
            <w:vAlign w:val="center"/>
          </w:tcPr>
          <w:p w14:paraId="28CD5935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900" w:type="dxa"/>
            <w:noWrap w:val="0"/>
            <w:vAlign w:val="center"/>
          </w:tcPr>
          <w:p w14:paraId="6AE107EF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34" w:type="dxa"/>
            <w:noWrap w:val="0"/>
            <w:vAlign w:val="center"/>
          </w:tcPr>
          <w:p w14:paraId="1263BCBA">
            <w:pPr>
              <w:bidi w:val="0"/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功能模块</w:t>
            </w:r>
          </w:p>
        </w:tc>
        <w:tc>
          <w:tcPr>
            <w:tcW w:w="3233" w:type="dxa"/>
            <w:noWrap w:val="0"/>
            <w:vAlign w:val="center"/>
          </w:tcPr>
          <w:p w14:paraId="6E1AA27B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功能描述</w:t>
            </w:r>
          </w:p>
        </w:tc>
        <w:tc>
          <w:tcPr>
            <w:tcW w:w="1665" w:type="dxa"/>
            <w:noWrap w:val="0"/>
            <w:vAlign w:val="center"/>
          </w:tcPr>
          <w:p w14:paraId="316679DD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单价（万元）</w:t>
            </w:r>
          </w:p>
        </w:tc>
        <w:tc>
          <w:tcPr>
            <w:tcW w:w="1024" w:type="dxa"/>
            <w:noWrap w:val="0"/>
            <w:vAlign w:val="center"/>
          </w:tcPr>
          <w:p w14:paraId="70FA5C1C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19B04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357" w:type="dxa"/>
            <w:vMerge w:val="restart"/>
            <w:noWrap w:val="0"/>
            <w:vAlign w:val="center"/>
          </w:tcPr>
          <w:p w14:paraId="3338EFF0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Arial" w:eastAsia="微软雅黑"/>
                <w:sz w:val="21"/>
                <w:szCs w:val="21"/>
              </w:rPr>
              <w:t>体检管理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900" w:type="dxa"/>
            <w:noWrap w:val="0"/>
            <w:vAlign w:val="center"/>
          </w:tcPr>
          <w:p w14:paraId="2091E73C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34" w:type="dxa"/>
            <w:noWrap w:val="0"/>
            <w:vAlign w:val="center"/>
          </w:tcPr>
          <w:p w14:paraId="70E7BCA9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33" w:type="dxa"/>
            <w:noWrap w:val="0"/>
            <w:vAlign w:val="center"/>
          </w:tcPr>
          <w:p w14:paraId="02F421AC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70638267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11123AF7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73998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 w14:paraId="7117F4CD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69A4691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34" w:type="dxa"/>
            <w:noWrap w:val="0"/>
            <w:vAlign w:val="center"/>
          </w:tcPr>
          <w:p w14:paraId="0B241DCA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33" w:type="dxa"/>
            <w:noWrap w:val="0"/>
            <w:vAlign w:val="center"/>
          </w:tcPr>
          <w:p w14:paraId="7289E726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479F5FE9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2CC28182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61944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 w14:paraId="76F10767">
            <w:pPr>
              <w:bidi w:val="0"/>
              <w:spacing w:line="360" w:lineRule="auto"/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9651327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7F14E5C8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33" w:type="dxa"/>
            <w:noWrap w:val="0"/>
            <w:vAlign w:val="center"/>
          </w:tcPr>
          <w:p w14:paraId="153E704A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7A3AF3FB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42D92386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6D75A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357" w:type="dxa"/>
            <w:vMerge w:val="restart"/>
            <w:noWrap w:val="0"/>
            <w:vAlign w:val="center"/>
          </w:tcPr>
          <w:p w14:paraId="309BC61B">
            <w:pPr>
              <w:tabs>
                <w:tab w:val="left" w:pos="533"/>
              </w:tabs>
              <w:bidi w:val="0"/>
              <w:spacing w:line="360" w:lineRule="auto"/>
              <w:jc w:val="center"/>
              <w:rPr>
                <w:rFonts w:ascii="Arial" w:eastAsia="微软雅黑"/>
                <w:sz w:val="21"/>
                <w:szCs w:val="21"/>
              </w:rPr>
            </w:pPr>
            <w:r>
              <w:rPr>
                <w:rFonts w:ascii="Arial" w:eastAsia="微软雅黑"/>
                <w:sz w:val="21"/>
                <w:szCs w:val="21"/>
              </w:rPr>
              <w:t>慢病管理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900" w:type="dxa"/>
            <w:noWrap w:val="0"/>
            <w:vAlign w:val="center"/>
          </w:tcPr>
          <w:p w14:paraId="2C1A69A3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34" w:type="dxa"/>
            <w:noWrap w:val="0"/>
            <w:vAlign w:val="center"/>
          </w:tcPr>
          <w:p w14:paraId="0CDDB411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33" w:type="dxa"/>
            <w:noWrap w:val="0"/>
            <w:vAlign w:val="center"/>
          </w:tcPr>
          <w:p w14:paraId="15B2F8FE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6DD024B3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2D0375D5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15A40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 w14:paraId="4817C331">
            <w:pPr>
              <w:tabs>
                <w:tab w:val="left" w:pos="533"/>
              </w:tabs>
              <w:bidi w:val="0"/>
              <w:spacing w:line="360" w:lineRule="auto"/>
              <w:jc w:val="center"/>
              <w:rPr>
                <w:rFonts w:ascii="Arial" w:eastAsia="微软雅黑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DB3CB5B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34" w:type="dxa"/>
            <w:noWrap w:val="0"/>
            <w:vAlign w:val="center"/>
          </w:tcPr>
          <w:p w14:paraId="40E67AA2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33" w:type="dxa"/>
            <w:noWrap w:val="0"/>
            <w:vAlign w:val="center"/>
          </w:tcPr>
          <w:p w14:paraId="36A677DF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308C6335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18ABDDD0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288D4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 w14:paraId="6FB8D27A">
            <w:pPr>
              <w:tabs>
                <w:tab w:val="left" w:pos="533"/>
              </w:tabs>
              <w:bidi w:val="0"/>
              <w:spacing w:line="360" w:lineRule="auto"/>
              <w:jc w:val="center"/>
              <w:rPr>
                <w:rFonts w:ascii="Arial" w:eastAsia="微软雅黑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286367D">
            <w:pPr>
              <w:bidi w:val="0"/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34898B01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33" w:type="dxa"/>
            <w:noWrap w:val="0"/>
            <w:vAlign w:val="center"/>
          </w:tcPr>
          <w:p w14:paraId="4FD7FFC5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49C2B9CF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1DB43C28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37EB0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57" w:type="dxa"/>
            <w:vMerge w:val="restart"/>
            <w:noWrap w:val="0"/>
            <w:vAlign w:val="center"/>
          </w:tcPr>
          <w:p w14:paraId="5F086A5F">
            <w:pPr>
              <w:tabs>
                <w:tab w:val="left" w:pos="533"/>
              </w:tabs>
              <w:bidi w:val="0"/>
              <w:spacing w:line="360" w:lineRule="auto"/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ascii="Arial" w:eastAsia="微软雅黑"/>
                <w:sz w:val="21"/>
                <w:szCs w:val="21"/>
              </w:rPr>
              <w:t>治未病管理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900" w:type="dxa"/>
            <w:noWrap w:val="0"/>
            <w:vAlign w:val="center"/>
          </w:tcPr>
          <w:p w14:paraId="4494236E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34" w:type="dxa"/>
            <w:noWrap w:val="0"/>
            <w:vAlign w:val="center"/>
          </w:tcPr>
          <w:p w14:paraId="15EA55C9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33" w:type="dxa"/>
            <w:noWrap w:val="0"/>
            <w:vAlign w:val="center"/>
          </w:tcPr>
          <w:p w14:paraId="2576F702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665" w:type="dxa"/>
            <w:noWrap w:val="0"/>
            <w:vAlign w:val="center"/>
          </w:tcPr>
          <w:p w14:paraId="70629DF9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2D7FB4B9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2ACE3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 w14:paraId="72C37359">
            <w:pPr>
              <w:bidi w:val="0"/>
              <w:spacing w:line="360" w:lineRule="auto"/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D781A52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34" w:type="dxa"/>
            <w:noWrap w:val="0"/>
            <w:vAlign w:val="center"/>
          </w:tcPr>
          <w:p w14:paraId="09B90885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33" w:type="dxa"/>
            <w:noWrap w:val="0"/>
            <w:vAlign w:val="center"/>
          </w:tcPr>
          <w:p w14:paraId="0825961B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35FD8987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477DDE47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16335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 w14:paraId="57501ED3">
            <w:pPr>
              <w:bidi w:val="0"/>
              <w:spacing w:line="360" w:lineRule="auto"/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1921C69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081B76C8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33" w:type="dxa"/>
            <w:noWrap w:val="0"/>
            <w:vAlign w:val="center"/>
          </w:tcPr>
          <w:p w14:paraId="641877FC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774274DA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3EE2E2AE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1EFB4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57" w:type="dxa"/>
            <w:vMerge w:val="restart"/>
            <w:noWrap w:val="0"/>
            <w:vAlign w:val="center"/>
          </w:tcPr>
          <w:p w14:paraId="747B7AD1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硬件、安全设备资源</w:t>
            </w:r>
          </w:p>
        </w:tc>
        <w:tc>
          <w:tcPr>
            <w:tcW w:w="900" w:type="dxa"/>
            <w:noWrap w:val="0"/>
            <w:vAlign w:val="center"/>
          </w:tcPr>
          <w:p w14:paraId="413CE9FD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34" w:type="dxa"/>
            <w:noWrap w:val="0"/>
            <w:vAlign w:val="center"/>
          </w:tcPr>
          <w:p w14:paraId="1CDB16FC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33" w:type="dxa"/>
            <w:noWrap w:val="0"/>
            <w:vAlign w:val="center"/>
          </w:tcPr>
          <w:p w14:paraId="2BF92A77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1ED1B92F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5D2A59FC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7E963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57" w:type="dxa"/>
            <w:vMerge w:val="continue"/>
            <w:tcBorders/>
            <w:noWrap w:val="0"/>
            <w:vAlign w:val="center"/>
          </w:tcPr>
          <w:p w14:paraId="2E2ED8FF">
            <w:pPr>
              <w:bidi w:val="0"/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69605E4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34" w:type="dxa"/>
            <w:noWrap w:val="0"/>
            <w:vAlign w:val="center"/>
          </w:tcPr>
          <w:p w14:paraId="5619A32F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33" w:type="dxa"/>
            <w:noWrap w:val="0"/>
            <w:vAlign w:val="center"/>
          </w:tcPr>
          <w:p w14:paraId="00199975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22568B5A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4D5D6141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08F9D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357" w:type="dxa"/>
            <w:vMerge w:val="continue"/>
            <w:tcBorders/>
            <w:noWrap w:val="0"/>
            <w:vAlign w:val="center"/>
          </w:tcPr>
          <w:p w14:paraId="5598CC2A">
            <w:pPr>
              <w:bidi w:val="0"/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CD6ABB3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725FDA20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33" w:type="dxa"/>
            <w:noWrap w:val="0"/>
            <w:vAlign w:val="center"/>
          </w:tcPr>
          <w:p w14:paraId="7907A3C3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74200C85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1E9594CD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4858B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357" w:type="dxa"/>
            <w:noWrap w:val="0"/>
            <w:vAlign w:val="center"/>
          </w:tcPr>
          <w:p w14:paraId="79A85814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34" w:type="dxa"/>
            <w:gridSpan w:val="2"/>
            <w:noWrap w:val="0"/>
            <w:vAlign w:val="center"/>
          </w:tcPr>
          <w:p w14:paraId="23BC232D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合计（万元）</w:t>
            </w:r>
          </w:p>
        </w:tc>
        <w:tc>
          <w:tcPr>
            <w:tcW w:w="5922" w:type="dxa"/>
            <w:gridSpan w:val="3"/>
            <w:noWrap w:val="0"/>
            <w:vAlign w:val="center"/>
          </w:tcPr>
          <w:p w14:paraId="2617CF9B">
            <w:pPr>
              <w:bidi w:val="0"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6648A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9613" w:type="dxa"/>
            <w:gridSpan w:val="6"/>
            <w:noWrap w:val="0"/>
            <w:vAlign w:val="center"/>
          </w:tcPr>
          <w:p w14:paraId="39503F58">
            <w:pPr>
              <w:bidi w:val="0"/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备注：含所有第三方系统接口产生的费用和三年相关数据治理服务费用</w:t>
            </w:r>
          </w:p>
          <w:p w14:paraId="634E86DF">
            <w:pPr>
              <w:bidi w:val="0"/>
              <w:spacing w:line="360" w:lineRule="auto"/>
              <w:jc w:val="left"/>
              <w:rPr>
                <w:rFonts w:hint="eastAsia"/>
                <w:u w:val="singl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合计：大写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</w:t>
            </w:r>
          </w:p>
          <w:p w14:paraId="3CB71D63">
            <w:pPr>
              <w:bidi w:val="0"/>
              <w:spacing w:line="360" w:lineRule="auto"/>
              <w:ind w:firstLine="720" w:firstLineChars="3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小写</w:t>
            </w:r>
            <w:r>
              <w:rPr>
                <w:rFonts w:hint="eastAsia" w:cs="宋体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</w:tc>
      </w:tr>
    </w:tbl>
    <w:p w14:paraId="277B5853">
      <w:pPr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59AE27C3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0"/>
          <w:sz w:val="24"/>
          <w:szCs w:val="24"/>
        </w:rPr>
        <w:t> </w:t>
      </w:r>
    </w:p>
    <w:p w14:paraId="09E3B484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0"/>
          <w:sz w:val="24"/>
          <w:szCs w:val="24"/>
        </w:rPr>
      </w:pPr>
      <w:r>
        <w:rPr>
          <w:rFonts w:hint="eastAsia" w:ascii="宋体" w:hAnsi="宋体" w:cs="宋体"/>
          <w:spacing w:val="0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pacing w:val="0"/>
          <w:sz w:val="24"/>
          <w:szCs w:val="24"/>
          <w:lang w:eastAsia="zh-CN"/>
        </w:rPr>
        <w:t>名称</w:t>
      </w:r>
      <w:r>
        <w:rPr>
          <w:rFonts w:hint="eastAsia" w:ascii="宋体" w:hAnsi="宋体" w:eastAsia="宋体" w:cs="宋体"/>
          <w:spacing w:val="0"/>
          <w:sz w:val="24"/>
          <w:szCs w:val="24"/>
        </w:rPr>
        <w:t>：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pacing w:val="0"/>
          <w:sz w:val="24"/>
          <w:szCs w:val="24"/>
        </w:rPr>
        <w:t>（全称并加盖公章）</w:t>
      </w:r>
    </w:p>
    <w:p w14:paraId="5BF3CA1A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cs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pacing w:val="0"/>
          <w:sz w:val="24"/>
          <w:szCs w:val="24"/>
        </w:rPr>
        <w:t>日  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0"/>
          <w:sz w:val="24"/>
          <w:szCs w:val="24"/>
        </w:rPr>
        <w:t>期：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2026年    月    日</w:t>
      </w:r>
    </w:p>
    <w:p w14:paraId="20359CDB">
      <w:pPr>
        <w:rPr>
          <w:rFonts w:hint="default" w:ascii="宋体" w:hAnsi="宋体" w:cs="宋体"/>
          <w:spacing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spacing w:val="0"/>
          <w:sz w:val="24"/>
          <w:szCs w:val="24"/>
          <w:lang w:val="en-US" w:eastAsia="zh-CN"/>
        </w:rPr>
        <w:br w:type="page"/>
      </w:r>
    </w:p>
    <w:p w14:paraId="7E925705">
      <w:pPr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公司简介</w:t>
      </w:r>
    </w:p>
    <w:tbl>
      <w:tblPr>
        <w:tblStyle w:val="13"/>
        <w:tblW w:w="84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8"/>
        <w:gridCol w:w="1350"/>
        <w:gridCol w:w="1860"/>
        <w:gridCol w:w="1444"/>
        <w:gridCol w:w="955"/>
        <w:gridCol w:w="1493"/>
      </w:tblGrid>
      <w:tr w14:paraId="64F08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1328" w:type="dxa"/>
            <w:noWrap w:val="0"/>
            <w:vAlign w:val="center"/>
          </w:tcPr>
          <w:p w14:paraId="1A06F8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供应商</w:t>
            </w:r>
          </w:p>
        </w:tc>
        <w:tc>
          <w:tcPr>
            <w:tcW w:w="3210" w:type="dxa"/>
            <w:gridSpan w:val="2"/>
            <w:noWrap w:val="0"/>
            <w:vAlign w:val="center"/>
          </w:tcPr>
          <w:p w14:paraId="3BDEDB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444" w:type="dxa"/>
            <w:noWrap w:val="0"/>
            <w:vAlign w:val="center"/>
          </w:tcPr>
          <w:p w14:paraId="460396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组织形式</w:t>
            </w:r>
          </w:p>
        </w:tc>
        <w:tc>
          <w:tcPr>
            <w:tcW w:w="2448" w:type="dxa"/>
            <w:gridSpan w:val="2"/>
            <w:noWrap w:val="0"/>
            <w:vAlign w:val="center"/>
          </w:tcPr>
          <w:p w14:paraId="2CC8BD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13926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1328" w:type="dxa"/>
            <w:noWrap w:val="0"/>
            <w:vAlign w:val="center"/>
          </w:tcPr>
          <w:p w14:paraId="581ABB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350" w:type="dxa"/>
            <w:noWrap w:val="0"/>
            <w:vAlign w:val="center"/>
          </w:tcPr>
          <w:p w14:paraId="7C2F18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860" w:type="dxa"/>
            <w:noWrap w:val="0"/>
            <w:vAlign w:val="center"/>
          </w:tcPr>
          <w:p w14:paraId="35ACF4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1444" w:type="dxa"/>
            <w:noWrap w:val="0"/>
            <w:vAlign w:val="center"/>
          </w:tcPr>
          <w:p w14:paraId="38422D6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955" w:type="dxa"/>
            <w:noWrap w:val="0"/>
            <w:vAlign w:val="center"/>
          </w:tcPr>
          <w:p w14:paraId="5E6110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法人姓名</w:t>
            </w:r>
          </w:p>
        </w:tc>
        <w:tc>
          <w:tcPr>
            <w:tcW w:w="1493" w:type="dxa"/>
            <w:noWrap w:val="0"/>
            <w:vAlign w:val="center"/>
          </w:tcPr>
          <w:p w14:paraId="016E1B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1553B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1328" w:type="dxa"/>
            <w:noWrap w:val="0"/>
            <w:vAlign w:val="center"/>
          </w:tcPr>
          <w:p w14:paraId="072C2A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注册资金</w:t>
            </w:r>
          </w:p>
        </w:tc>
        <w:tc>
          <w:tcPr>
            <w:tcW w:w="1350" w:type="dxa"/>
            <w:noWrap w:val="0"/>
            <w:vAlign w:val="center"/>
          </w:tcPr>
          <w:p w14:paraId="672809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3304" w:type="dxa"/>
            <w:gridSpan w:val="2"/>
            <w:noWrap w:val="0"/>
            <w:vAlign w:val="center"/>
          </w:tcPr>
          <w:p w14:paraId="39BD88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统一社会信用代码</w:t>
            </w:r>
          </w:p>
        </w:tc>
        <w:tc>
          <w:tcPr>
            <w:tcW w:w="2448" w:type="dxa"/>
            <w:gridSpan w:val="2"/>
            <w:noWrap w:val="0"/>
            <w:vAlign w:val="center"/>
          </w:tcPr>
          <w:p w14:paraId="2DC538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286ED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2678" w:type="dxa"/>
            <w:gridSpan w:val="2"/>
            <w:noWrap w:val="0"/>
            <w:vAlign w:val="center"/>
          </w:tcPr>
          <w:p w14:paraId="25BBD6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注册地址</w:t>
            </w:r>
          </w:p>
        </w:tc>
        <w:tc>
          <w:tcPr>
            <w:tcW w:w="5752" w:type="dxa"/>
            <w:gridSpan w:val="4"/>
            <w:noWrap w:val="0"/>
            <w:vAlign w:val="center"/>
          </w:tcPr>
          <w:p w14:paraId="59BF728B">
            <w:pP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0FB64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4" w:hRule="exact"/>
          <w:jc w:val="center"/>
        </w:trPr>
        <w:tc>
          <w:tcPr>
            <w:tcW w:w="1328" w:type="dxa"/>
            <w:noWrap w:val="0"/>
            <w:vAlign w:val="center"/>
          </w:tcPr>
          <w:p w14:paraId="384995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经营范围</w:t>
            </w:r>
          </w:p>
        </w:tc>
        <w:tc>
          <w:tcPr>
            <w:tcW w:w="7102" w:type="dxa"/>
            <w:gridSpan w:val="5"/>
            <w:noWrap w:val="0"/>
            <w:vAlign w:val="center"/>
          </w:tcPr>
          <w:p w14:paraId="12DDDD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</w:tr>
    </w:tbl>
    <w:p w14:paraId="5FD07136">
      <w:pPr>
        <w:pStyle w:val="8"/>
        <w:rPr>
          <w:rFonts w:hint="eastAsia"/>
        </w:rPr>
      </w:pPr>
    </w:p>
    <w:p w14:paraId="5FB0A1A8"/>
    <w:p w14:paraId="7C336571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2、营业执照</w:t>
      </w:r>
    </w:p>
    <w:p w14:paraId="0A731AD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EE70B2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F87960A">
      <w:pPr>
        <w:rPr>
          <w:rFonts w:hint="default"/>
          <w:lang w:val="en-US" w:eastAsia="zh-CN"/>
        </w:rPr>
      </w:pPr>
    </w:p>
    <w:p w14:paraId="753B4891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系统技术方案</w:t>
      </w:r>
    </w:p>
    <w:p w14:paraId="434745EB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18726F2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D51E25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5ED579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C263135">
      <w:pPr>
        <w:spacing w:after="120" w:line="360" w:lineRule="auto"/>
        <w:ind w:firstLine="480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62B01"/>
    <w:multiLevelType w:val="singleLevel"/>
    <w:tmpl w:val="B1E62B0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B563060"/>
    <w:rsid w:val="11826AFE"/>
    <w:rsid w:val="25916AE1"/>
    <w:rsid w:val="27170AFF"/>
    <w:rsid w:val="3FCF1AFE"/>
    <w:rsid w:val="4B85247E"/>
    <w:rsid w:val="6E481411"/>
    <w:rsid w:val="7FE2EEC2"/>
    <w:rsid w:val="7FEF37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eastAsia="微软雅黑" w:hAnsiTheme="minorHAnsi" w:cstheme="minorBidi"/>
      <w:sz w:val="24"/>
      <w:szCs w:val="24"/>
    </w:rPr>
  </w:style>
  <w:style w:type="paragraph" w:styleId="2">
    <w:name w:val="heading 1"/>
    <w:next w:val="1"/>
    <w:qFormat/>
    <w:uiPriority w:val="0"/>
    <w:pPr>
      <w:spacing w:before="240" w:after="240"/>
      <w:outlineLvl w:val="0"/>
    </w:pPr>
    <w:rPr>
      <w:rFonts w:ascii="Arial" w:eastAsia="微软雅黑" w:hAnsiTheme="minorHAnsi" w:cstheme="minorBidi"/>
      <w:b/>
      <w:bCs/>
      <w:color w:val="000000"/>
      <w:sz w:val="32"/>
      <w:szCs w:val="32"/>
    </w:rPr>
  </w:style>
  <w:style w:type="paragraph" w:styleId="3">
    <w:name w:val="heading 2"/>
    <w:next w:val="1"/>
    <w:qFormat/>
    <w:uiPriority w:val="0"/>
    <w:pPr>
      <w:spacing w:before="180" w:after="180"/>
      <w:outlineLvl w:val="1"/>
    </w:pPr>
    <w:rPr>
      <w:rFonts w:ascii="Arial" w:eastAsia="微软雅黑" w:hAnsiTheme="minorHAnsi" w:cstheme="minorBidi"/>
      <w:b/>
      <w:bCs/>
      <w:color w:val="000000"/>
      <w:sz w:val="28"/>
      <w:szCs w:val="28"/>
    </w:rPr>
  </w:style>
  <w:style w:type="paragraph" w:styleId="4">
    <w:name w:val="heading 3"/>
    <w:next w:val="1"/>
    <w:qFormat/>
    <w:uiPriority w:val="0"/>
    <w:pPr>
      <w:spacing w:before="120" w:after="120"/>
      <w:outlineLvl w:val="2"/>
    </w:pPr>
    <w:rPr>
      <w:rFonts w:ascii="Arial" w:eastAsia="微软雅黑" w:hAnsiTheme="minorHAnsi" w:cstheme="minorBidi"/>
      <w:b/>
      <w:bCs/>
      <w:color w:val="000000"/>
      <w:sz w:val="26"/>
      <w:szCs w:val="26"/>
    </w:rPr>
  </w:style>
  <w:style w:type="paragraph" w:styleId="5">
    <w:name w:val="heading 4"/>
    <w:next w:val="1"/>
    <w:qFormat/>
    <w:uiPriority w:val="0"/>
    <w:rPr>
      <w:rFonts w:ascii="Arial" w:eastAsia="微软雅黑" w:hAnsiTheme="minorHAnsi" w:cstheme="minorBidi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Arial" w:eastAsia="微软雅黑" w:hAnsiTheme="minorHAnsi" w:cstheme="minorBidi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Arial" w:eastAsia="微软雅黑" w:hAnsiTheme="minorHAnsi" w:cstheme="minorBidi"/>
      <w:color w:val="1F4D78"/>
      <w:sz w:val="24"/>
      <w:szCs w:val="24"/>
    </w:rPr>
  </w:style>
  <w:style w:type="character" w:default="1" w:styleId="14">
    <w:name w:val="Default Paragraph Font"/>
    <w:semiHidden/>
    <w:uiPriority w:val="0"/>
  </w:style>
  <w:style w:type="table" w:default="1" w:styleId="1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next w:val="1"/>
    <w:qFormat/>
    <w:uiPriority w:val="99"/>
    <w:pPr>
      <w:spacing w:after="120"/>
    </w:pPr>
  </w:style>
  <w:style w:type="paragraph" w:styleId="9">
    <w:name w:val="endnote text"/>
    <w:link w:val="20"/>
    <w:semiHidden/>
    <w:unhideWhenUsed/>
    <w:qFormat/>
    <w:uiPriority w:val="99"/>
    <w:pPr>
      <w:spacing w:after="0" w:line="240" w:lineRule="auto"/>
    </w:pPr>
    <w:rPr>
      <w:rFonts w:ascii="Arial" w:eastAsia="微软雅黑" w:hAnsiTheme="minorHAnsi" w:cstheme="minorBidi"/>
      <w:sz w:val="20"/>
      <w:szCs w:val="20"/>
    </w:rPr>
  </w:style>
  <w:style w:type="paragraph" w:styleId="10">
    <w:name w:val="footnote text"/>
    <w:link w:val="19"/>
    <w:semiHidden/>
    <w:unhideWhenUsed/>
    <w:qFormat/>
    <w:uiPriority w:val="99"/>
    <w:pPr>
      <w:spacing w:after="0" w:line="240" w:lineRule="auto"/>
    </w:pPr>
    <w:rPr>
      <w:rFonts w:ascii="Arial" w:eastAsia="微软雅黑" w:hAnsiTheme="minorHAnsi" w:cstheme="minorBidi"/>
      <w:sz w:val="20"/>
      <w:szCs w:val="20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qFormat/>
    <w:uiPriority w:val="0"/>
    <w:rPr>
      <w:rFonts w:ascii="Arial" w:eastAsia="微软雅黑" w:hAnsiTheme="minorHAnsi" w:cstheme="minorBidi"/>
      <w:sz w:val="56"/>
      <w:szCs w:val="56"/>
    </w:rPr>
  </w:style>
  <w:style w:type="character" w:styleId="15">
    <w:name w:val="endnote reference"/>
    <w:semiHidden/>
    <w:unhideWhenUsed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semiHidden/>
    <w:unhideWhenUsed/>
    <w:uiPriority w:val="99"/>
    <w:rPr>
      <w:vertAlign w:val="superscript"/>
    </w:rPr>
  </w:style>
  <w:style w:type="paragraph" w:styleId="18">
    <w:name w:val="List Paragraph"/>
    <w:qFormat/>
    <w:uiPriority w:val="0"/>
    <w:rPr>
      <w:rFonts w:ascii="Arial" w:eastAsia="微软雅黑" w:hAnsiTheme="minorHAnsi" w:cstheme="minorBidi"/>
      <w:sz w:val="24"/>
      <w:szCs w:val="24"/>
    </w:rPr>
  </w:style>
  <w:style w:type="character" w:customStyle="1" w:styleId="19">
    <w:name w:val="Footnote Text Char"/>
    <w:link w:val="10"/>
    <w:semiHidden/>
    <w:unhideWhenUsed/>
    <w:qFormat/>
    <w:uiPriority w:val="99"/>
    <w:rPr>
      <w:sz w:val="20"/>
      <w:szCs w:val="20"/>
    </w:rPr>
  </w:style>
  <w:style w:type="character" w:customStyle="1" w:styleId="20">
    <w:name w:val="Endnote Text Char"/>
    <w:link w:val="9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943</Words>
  <Characters>961</Characters>
  <TotalTime>12</TotalTime>
  <ScaleCrop>false</ScaleCrop>
  <LinksUpToDate>false</LinksUpToDate>
  <CharactersWithSpaces>1038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2026-08-13T09:55:00Z</dcterms:created>
  <dc:creator>Un-named</dc:creator>
  <cp:lastModifiedBy>实心</cp:lastModifiedBy>
  <dcterms:modified xsi:type="dcterms:W3CDTF">2026-08-14T10:37:36Z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56EE3A9349F443EE900D740821B6F6E6_13</vt:lpwstr>
  </property>
  <property fmtid="{D5CDD505-2E9C-101B-9397-08002B2CF9AE}" pid="4" name="KSOTemplateDocerSaveRecord">
    <vt:lpwstr>eyJoZGlkIjoiZDNmZGEwNmRkOTQ3MzA0OWY4NDA1MDdjZGVkZjM5NWIiLCJ1c2VySWQiOiI4NTM4MDQ4MTIifQ==</vt:lpwstr>
  </property>
</Properties>
</file>